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numbering.xml" ContentType="application/vnd.openxmlformats-officedocument.wordprocessingml.numbering+xml"/>
  <Override PartName="/word/_rels/document.xml.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9242" w:type="dxa"/>
        <w:jc w:val="left"/>
        <w:tblInd w:w="0" w:type="dxa"/>
        <w:tblLayout w:type="fixed"/>
        <w:tblCellMar>
          <w:top w:w="0" w:type="dxa"/>
          <w:left w:w="108" w:type="dxa"/>
          <w:bottom w:w="0" w:type="dxa"/>
          <w:right w:w="108" w:type="dxa"/>
        </w:tblCellMar>
        <w:tblLook w:val="01e0"/>
      </w:tblPr>
      <w:tblGrid>
        <w:gridCol w:w="9242"/>
      </w:tblGrid>
      <w:tr>
        <w:trPr/>
        <w:tc>
          <w:tcPr>
            <w:tcW w:w="9242" w:type="dxa"/>
            <w:tcBorders>
              <w:top w:val="single" w:sz="12" w:space="0" w:color="000000"/>
              <w:left w:val="single" w:sz="12" w:space="0" w:color="000000"/>
              <w:bottom w:val="single" w:sz="12" w:space="0" w:color="000000"/>
              <w:right w:val="single" w:sz="12" w:space="0" w:color="000000"/>
            </w:tcBorders>
            <w:shd w:color="auto" w:fill="F2F2F2" w:val="clear"/>
          </w:tcPr>
          <w:p>
            <w:pPr>
              <w:pStyle w:val="Normal"/>
              <w:widowControl w:val="false"/>
              <w:rPr>
                <w:b/>
                <w:b/>
                <w:sz w:val="22"/>
                <w:szCs w:val="22"/>
                <w:lang w:val="sr-CS"/>
              </w:rPr>
            </w:pPr>
            <w:r>
              <w:rPr>
                <w:b/>
                <w:sz w:val="22"/>
                <w:szCs w:val="22"/>
                <w:lang w:val="sr-CS"/>
              </w:rPr>
              <w:t>Стандард 12. Студије на светском језику</w:t>
            </w:r>
          </w:p>
          <w:p>
            <w:pPr>
              <w:pStyle w:val="Normal"/>
              <w:widowControl w:val="false"/>
              <w:rPr>
                <w:sz w:val="22"/>
                <w:szCs w:val="22"/>
              </w:rPr>
            </w:pPr>
            <w:r>
              <w:rPr>
                <w:sz w:val="22"/>
                <w:szCs w:val="22"/>
              </w:rPr>
              <w:t>Високошколска установа може организовати студијски програм на светском језику за сваку област и свако образовно-научно поље и образовно-уметничко поље ако поседује људске и материјалне ресурсе који омогућују да се наставни садржај може остварити у складу са стандардима.</w:t>
            </w:r>
          </w:p>
        </w:tc>
      </w:tr>
      <w:tr>
        <w:trPr/>
        <w:tc>
          <w:tcPr>
            <w:tcW w:w="9242" w:type="dxa"/>
            <w:tcBorders>
              <w:top w:val="single" w:sz="12" w:space="0" w:color="000000"/>
              <w:left w:val="single" w:sz="12" w:space="0" w:color="000000"/>
              <w:bottom w:val="single" w:sz="12" w:space="0" w:color="000000"/>
              <w:right w:val="single" w:sz="12" w:space="0" w:color="000000"/>
            </w:tcBorders>
          </w:tcPr>
          <w:p>
            <w:pPr>
              <w:pStyle w:val="Normal"/>
              <w:widowControl w:val="false"/>
              <w:rPr>
                <w:sz w:val="22"/>
                <w:szCs w:val="22"/>
              </w:rPr>
            </w:pPr>
            <w:r>
              <w:rPr>
                <w:sz w:val="22"/>
                <w:szCs w:val="22"/>
              </w:rPr>
              <w:t xml:space="preserve">Study programme of (Interdisciplinary) Joint Master Programme in Southeast European Studies is a result of the Tempus project "Examples of excellence for joint (degree) programme development in South Eastern Europe“ (144949-TEMPUS-2008-AT-JPCR), coordinated by the University of Graz. The programme was for the first time accredited in 2012, and again in 2015, when it was significantly improved. From the very beginning, the programme has been carried out exclusively in English language, and this is the language in which we want to accredit it now as well.  </w:t>
            </w:r>
          </w:p>
          <w:p>
            <w:pPr>
              <w:pStyle w:val="Normal"/>
              <w:widowControl w:val="false"/>
              <w:rPr>
                <w:sz w:val="22"/>
                <w:szCs w:val="22"/>
              </w:rPr>
            </w:pPr>
            <w:r>
              <w:rPr>
                <w:sz w:val="22"/>
                <w:szCs w:val="22"/>
              </w:rPr>
            </w:r>
          </w:p>
          <w:p>
            <w:pPr>
              <w:pStyle w:val="Normal"/>
              <w:widowControl w:val="false"/>
              <w:rPr>
                <w:sz w:val="22"/>
                <w:szCs w:val="22"/>
              </w:rPr>
            </w:pPr>
            <w:r>
              <w:rPr>
                <w:sz w:val="22"/>
                <w:szCs w:val="22"/>
              </w:rPr>
              <w:t xml:space="preserve">Out of totally 80 students enrolled since the beginning, as many as 60 were foreigners, from 25 states. With exception of students from the region, they neither had an active nor passive knowledge of Serbian language, nor the knowledge of Serbian was a prerequisite for enrollment. Serbian language is offered as an optional course. We do think that this programme significantly contributed internationalization not only of our Faculty but of the entire University of Belgrade and opened the path for other similar programmes. </w:t>
            </w:r>
          </w:p>
          <w:p>
            <w:pPr>
              <w:pStyle w:val="Normal"/>
              <w:widowControl w:val="false"/>
              <w:rPr>
                <w:sz w:val="22"/>
                <w:szCs w:val="22"/>
              </w:rPr>
            </w:pPr>
            <w:r>
              <w:rPr>
                <w:sz w:val="22"/>
                <w:szCs w:val="22"/>
              </w:rPr>
            </w:r>
          </w:p>
          <w:p>
            <w:pPr>
              <w:pStyle w:val="Normal"/>
              <w:widowControl w:val="false"/>
              <w:rPr>
                <w:sz w:val="22"/>
                <w:szCs w:val="22"/>
              </w:rPr>
            </w:pPr>
            <w:r>
              <w:rPr>
                <w:sz w:val="22"/>
                <w:szCs w:val="22"/>
              </w:rPr>
              <w:t>Teachers at the programme fulfil all criteria concerning knowledge of the langu</w:t>
            </w:r>
            <w:r>
              <w:rPr>
                <w:sz w:val="22"/>
                <w:szCs w:val="22"/>
              </w:rPr>
              <w:t>a</w:t>
            </w:r>
            <w:r>
              <w:rPr>
                <w:sz w:val="22"/>
                <w:szCs w:val="22"/>
              </w:rPr>
              <w:t xml:space="preserve">ge which – apart from enclosed documents – is proven in regular students’ evaluations. Language competences of students are defined by conditions at the Call for Applications – if not native speakers, IELTS (required minimum score: 6.0), a TOEFL (required minimum score: 210 on the computerised test, 547 on the paper based test, 78 on the internet based test), a Cambridge Exam (required level: FCE) or an equivalent certificate. Students who have completed their BA in English are not required to provide this proof of proficiency but may be interviewed. Programme literature, in additional to the sufficient number of items in English in the library, is also provided by teachers themselves, for their respective courses. Administrative coordinator of the programme is able to provide services in English. Accompanying documents for the students is bilingual. </w:t>
            </w:r>
          </w:p>
          <w:p>
            <w:pPr>
              <w:pStyle w:val="Normal"/>
              <w:widowControl w:val="false"/>
              <w:jc w:val="both"/>
              <w:rPr>
                <w:sz w:val="22"/>
                <w:szCs w:val="22"/>
                <w:lang w:val="sr-CS"/>
              </w:rPr>
            </w:pPr>
            <w:r>
              <w:rPr>
                <w:sz w:val="22"/>
                <w:szCs w:val="22"/>
                <w:lang w:val="sr-CS"/>
              </w:rPr>
            </w:r>
          </w:p>
        </w:tc>
      </w:tr>
      <w:tr>
        <w:trPr/>
        <w:tc>
          <w:tcPr>
            <w:tcW w:w="9242" w:type="dxa"/>
            <w:tcBorders>
              <w:top w:val="single" w:sz="12" w:space="0" w:color="000000"/>
              <w:left w:val="single" w:sz="12" w:space="0" w:color="000000"/>
              <w:bottom w:val="single" w:sz="12" w:space="0" w:color="000000"/>
              <w:right w:val="single" w:sz="12" w:space="0" w:color="000000"/>
            </w:tcBorders>
            <w:shd w:color="auto" w:fill="F2F2F2" w:val="clear"/>
          </w:tcPr>
          <w:p>
            <w:pPr>
              <w:pStyle w:val="Normal"/>
              <w:widowControl w:val="false"/>
              <w:pBdr>
                <w:bottom w:val="single" w:sz="6" w:space="1" w:color="000000"/>
              </w:pBdr>
              <w:rPr>
                <w:b/>
                <w:b/>
                <w:sz w:val="22"/>
                <w:szCs w:val="22"/>
                <w:lang w:val="sr-CS"/>
              </w:rPr>
            </w:pPr>
            <w:r>
              <w:rPr>
                <w:b/>
                <w:sz w:val="22"/>
                <w:szCs w:val="22"/>
                <w:lang w:val="sr-CS"/>
              </w:rPr>
              <w:t>Показатељи и прилози за стандард 12:</w:t>
            </w:r>
          </w:p>
          <w:p>
            <w:pPr>
              <w:pStyle w:val="Normal"/>
              <w:widowControl w:val="false"/>
              <w:jc w:val="both"/>
              <w:rPr>
                <w:bCs/>
                <w:sz w:val="22"/>
                <w:szCs w:val="22"/>
                <w:lang w:val="sr-CS"/>
              </w:rPr>
            </w:pPr>
            <w:r>
              <w:rPr>
                <w:b/>
                <w:sz w:val="22"/>
                <w:szCs w:val="22"/>
                <w:lang w:val="sr-CS"/>
              </w:rPr>
              <w:t xml:space="preserve">Прилог </w:t>
            </w:r>
            <w:r>
              <w:rPr>
                <w:b/>
                <w:sz w:val="22"/>
                <w:szCs w:val="22"/>
              </w:rPr>
              <w:t>12.</w:t>
            </w:r>
            <w:r>
              <w:rPr>
                <w:b/>
                <w:sz w:val="22"/>
                <w:szCs w:val="22"/>
                <w:lang w:val="sr-CS"/>
              </w:rPr>
              <w:t>1.</w:t>
            </w:r>
            <w:r>
              <w:rPr>
                <w:sz w:val="22"/>
                <w:szCs w:val="22"/>
                <w:lang w:val="sr-CS"/>
              </w:rPr>
              <w:t xml:space="preserve"> </w:t>
            </w:r>
            <w:r>
              <w:rPr>
                <w:bCs/>
                <w:sz w:val="22"/>
                <w:szCs w:val="22"/>
                <w:lang w:val="sr-CS"/>
              </w:rPr>
              <w:t>Документација на светском језику  (тачка 12.9 Упутства) – професори доказ о знању језика (ЦВ), искуство 8 година</w:t>
            </w:r>
          </w:p>
          <w:p>
            <w:pPr>
              <w:pStyle w:val="Normal"/>
              <w:widowControl w:val="false"/>
              <w:jc w:val="both"/>
              <w:rPr>
                <w:bCs/>
                <w:sz w:val="22"/>
                <w:szCs w:val="22"/>
              </w:rPr>
            </w:pPr>
            <w:r>
              <w:rPr>
                <w:b/>
                <w:bCs/>
                <w:sz w:val="22"/>
                <w:szCs w:val="22"/>
                <w:lang w:val="sr-CS"/>
              </w:rPr>
              <w:t xml:space="preserve">Прилог </w:t>
            </w:r>
            <w:r>
              <w:rPr>
                <w:b/>
                <w:bCs/>
                <w:sz w:val="22"/>
                <w:szCs w:val="22"/>
              </w:rPr>
              <w:t>12.</w:t>
            </w:r>
            <w:r>
              <w:rPr>
                <w:b/>
                <w:bCs/>
                <w:sz w:val="22"/>
                <w:szCs w:val="22"/>
                <w:lang w:val="sr-CS"/>
              </w:rPr>
              <w:t>2.</w:t>
            </w:r>
            <w:r>
              <w:rPr>
                <w:bCs/>
                <w:sz w:val="22"/>
                <w:szCs w:val="22"/>
                <w:lang w:val="sr-CS"/>
              </w:rPr>
              <w:t xml:space="preserve"> Документација на српском и светском језику (ако се акредитује на оба језика)</w:t>
            </w:r>
          </w:p>
          <w:p>
            <w:pPr>
              <w:pStyle w:val="Normal"/>
              <w:widowControl w:val="false"/>
              <w:jc w:val="both"/>
              <w:rPr>
                <w:bCs/>
                <w:sz w:val="22"/>
                <w:szCs w:val="22"/>
                <w:lang w:val="sr-CS"/>
              </w:rPr>
            </w:pPr>
            <w:r>
              <w:rPr>
                <w:b/>
                <w:sz w:val="22"/>
                <w:szCs w:val="22"/>
                <w:lang w:val="sr-CS"/>
              </w:rPr>
              <w:t>Прилог 12.3.</w:t>
            </w:r>
            <w:r>
              <w:rPr>
                <w:sz w:val="22"/>
                <w:szCs w:val="22"/>
                <w:lang w:val="sr-CS"/>
              </w:rPr>
              <w:t xml:space="preserve"> </w:t>
            </w:r>
            <w:r>
              <w:rPr>
                <w:bCs/>
                <w:sz w:val="22"/>
                <w:szCs w:val="22"/>
                <w:lang w:val="sr-CS"/>
              </w:rPr>
              <w:t>Докази да су испуњени услови из Упутства за примену стандарда 12. –библиотека, гоогле драјв?</w:t>
            </w:r>
          </w:p>
          <w:p>
            <w:pPr>
              <w:pStyle w:val="Normal"/>
              <w:widowControl w:val="false"/>
              <w:jc w:val="both"/>
              <w:rPr>
                <w:bCs/>
                <w:sz w:val="22"/>
                <w:szCs w:val="22"/>
              </w:rPr>
            </w:pPr>
            <w:r>
              <w:rPr>
                <w:b/>
                <w:sz w:val="22"/>
                <w:szCs w:val="22"/>
              </w:rPr>
              <w:t>Прилог 12.4.</w:t>
            </w:r>
            <w:r>
              <w:rPr>
                <w:bCs/>
                <w:sz w:val="22"/>
                <w:szCs w:val="22"/>
              </w:rPr>
              <w:t xml:space="preserve"> Доказ о одговарајућим компетенцијама наставника и сарадника за извођење наставе на том језику.</w:t>
            </w:r>
          </w:p>
          <w:p>
            <w:pPr>
              <w:pStyle w:val="Normal"/>
              <w:widowControl w:val="false"/>
              <w:jc w:val="both"/>
              <w:rPr>
                <w:b/>
                <w:b/>
                <w:bCs/>
                <w:sz w:val="22"/>
                <w:szCs w:val="22"/>
              </w:rPr>
            </w:pPr>
            <w:r>
              <w:rPr>
                <w:b/>
                <w:bCs/>
                <w:sz w:val="22"/>
                <w:szCs w:val="22"/>
              </w:rPr>
              <w:t>Ниво језичких компетенција:</w:t>
            </w:r>
          </w:p>
          <w:p>
            <w:pPr>
              <w:pStyle w:val="Normal"/>
              <w:widowControl w:val="false"/>
              <w:numPr>
                <w:ilvl w:val="0"/>
                <w:numId w:val="1"/>
              </w:numPr>
              <w:jc w:val="both"/>
              <w:rPr>
                <w:bCs/>
                <w:sz w:val="22"/>
                <w:szCs w:val="22"/>
              </w:rPr>
            </w:pPr>
            <w:r>
              <w:rPr>
                <w:bCs/>
                <w:sz w:val="22"/>
                <w:szCs w:val="22"/>
              </w:rPr>
              <w:t xml:space="preserve">Сертификат за ниво компетенција напредни = C1 </w:t>
            </w:r>
            <w:r>
              <w:rPr>
                <w:bCs/>
                <w:sz w:val="22"/>
                <w:szCs w:val="22"/>
                <w:lang w:val="sr-CS"/>
              </w:rPr>
              <w:t>по Заједничком европском  референтном оквиру за језике (ЗЕРОЈ).</w:t>
            </w:r>
            <w:r>
              <w:rPr>
                <w:bCs/>
                <w:sz w:val="22"/>
                <w:szCs w:val="22"/>
              </w:rPr>
              <w:t xml:space="preserve"> За Енглески: Cambridge Advanced Certificate in English (CAE) / IELTS (International English Language Testing System .</w:t>
            </w:r>
          </w:p>
          <w:p>
            <w:pPr>
              <w:pStyle w:val="Normal"/>
              <w:widowControl w:val="false"/>
              <w:ind w:left="720" w:hanging="0"/>
              <w:jc w:val="both"/>
              <w:rPr>
                <w:bCs/>
                <w:sz w:val="22"/>
                <w:szCs w:val="22"/>
              </w:rPr>
            </w:pPr>
            <w:r>
              <w:rPr>
                <w:bCs/>
                <w:sz w:val="22"/>
                <w:szCs w:val="22"/>
              </w:rPr>
              <w:t>Или:</w:t>
            </w:r>
          </w:p>
          <w:p>
            <w:pPr>
              <w:pStyle w:val="Normal"/>
              <w:widowControl w:val="false"/>
              <w:numPr>
                <w:ilvl w:val="0"/>
                <w:numId w:val="1"/>
              </w:numPr>
              <w:jc w:val="both"/>
              <w:rPr>
                <w:bCs/>
                <w:sz w:val="22"/>
                <w:szCs w:val="22"/>
              </w:rPr>
            </w:pPr>
            <w:r>
              <w:rPr>
                <w:bCs/>
                <w:sz w:val="22"/>
                <w:szCs w:val="22"/>
              </w:rPr>
              <w:t xml:space="preserve">Завршен било који степен универзитетског образовања на датом  језику </w:t>
            </w:r>
          </w:p>
          <w:p>
            <w:pPr>
              <w:pStyle w:val="Normal"/>
              <w:widowControl w:val="false"/>
              <w:numPr>
                <w:ilvl w:val="0"/>
                <w:numId w:val="1"/>
              </w:numPr>
              <w:jc w:val="both"/>
              <w:rPr>
                <w:bCs/>
                <w:sz w:val="22"/>
                <w:szCs w:val="22"/>
              </w:rPr>
            </w:pPr>
            <w:r>
              <w:rPr>
                <w:bCs/>
                <w:sz w:val="22"/>
                <w:szCs w:val="22"/>
              </w:rPr>
              <w:t>Реализован студијски боравак или мобилност у трајању од једног семестра на датом језику - ово</w:t>
            </w:r>
          </w:p>
          <w:p>
            <w:pPr>
              <w:pStyle w:val="Normal"/>
              <w:widowControl w:val="false"/>
              <w:numPr>
                <w:ilvl w:val="0"/>
                <w:numId w:val="1"/>
              </w:numPr>
              <w:jc w:val="both"/>
              <w:rPr>
                <w:bCs/>
                <w:sz w:val="22"/>
                <w:szCs w:val="22"/>
              </w:rPr>
            </w:pPr>
            <w:r>
              <w:rPr>
                <w:bCs/>
                <w:sz w:val="22"/>
                <w:szCs w:val="22"/>
              </w:rPr>
              <w:t>Да је излагао предавање по позиву на међународној конференцији где је званични дати језик - ово</w:t>
            </w:r>
          </w:p>
          <w:p>
            <w:pPr>
              <w:pStyle w:val="Normal"/>
              <w:widowControl w:val="false"/>
              <w:numPr>
                <w:ilvl w:val="0"/>
                <w:numId w:val="1"/>
              </w:numPr>
              <w:jc w:val="both"/>
              <w:rPr>
                <w:bCs/>
                <w:sz w:val="22"/>
                <w:szCs w:val="22"/>
              </w:rPr>
            </w:pPr>
            <w:r>
              <w:rPr>
                <w:bCs/>
                <w:sz w:val="22"/>
                <w:szCs w:val="22"/>
              </w:rPr>
              <w:t>Да је имао гостујуће предавање на датом језику (приложен сертификат)</w:t>
            </w:r>
          </w:p>
          <w:p>
            <w:pPr>
              <w:pStyle w:val="Normal"/>
              <w:widowControl w:val="false"/>
              <w:shd w:val="clear" w:color="auto" w:fill="FFFFFF"/>
              <w:spacing w:lineRule="exact" w:line="269" w:before="10" w:after="0"/>
              <w:jc w:val="both"/>
              <w:rPr>
                <w:bCs/>
                <w:sz w:val="22"/>
                <w:szCs w:val="22"/>
              </w:rPr>
            </w:pPr>
            <w:r>
              <w:rPr>
                <w:b/>
                <w:sz w:val="22"/>
                <w:szCs w:val="22"/>
              </w:rPr>
              <w:t>Прилог 12.5.</w:t>
            </w:r>
            <w:r>
              <w:rPr>
                <w:bCs/>
                <w:sz w:val="22"/>
                <w:szCs w:val="22"/>
              </w:rPr>
              <w:t xml:space="preserve"> Доказ о студентским компетенцијама из светског језика на којем се изводи студијски програм. </w:t>
            </w:r>
          </w:p>
          <w:p>
            <w:pPr>
              <w:pStyle w:val="Normal"/>
              <w:widowControl w:val="false"/>
              <w:shd w:val="clear" w:color="auto" w:fill="FFFFFF"/>
              <w:spacing w:lineRule="exact" w:line="269" w:before="10" w:after="0"/>
              <w:jc w:val="both"/>
              <w:rPr>
                <w:bCs/>
                <w:sz w:val="22"/>
                <w:szCs w:val="22"/>
              </w:rPr>
            </w:pPr>
            <w:r>
              <w:rPr>
                <w:b/>
                <w:bCs/>
                <w:sz w:val="22"/>
                <w:szCs w:val="22"/>
              </w:rPr>
              <w:t>Ниво језичких компетенција:</w:t>
            </w:r>
            <w:r>
              <w:rPr>
                <w:bCs/>
                <w:sz w:val="22"/>
                <w:szCs w:val="22"/>
              </w:rPr>
              <w:t xml:space="preserve"> </w:t>
            </w:r>
          </w:p>
          <w:p>
            <w:pPr>
              <w:pStyle w:val="Normal"/>
              <w:widowControl w:val="false"/>
              <w:shd w:val="clear" w:color="auto" w:fill="FFFFFF"/>
              <w:spacing w:lineRule="exact" w:line="269" w:before="10" w:after="0"/>
              <w:jc w:val="both"/>
              <w:rPr>
                <w:bCs/>
                <w:sz w:val="22"/>
                <w:szCs w:val="22"/>
                <w:lang w:val="sr-CS"/>
              </w:rPr>
            </w:pPr>
            <w:r>
              <w:rPr>
                <w:bCs/>
                <w:sz w:val="22"/>
                <w:szCs w:val="22"/>
              </w:rPr>
              <w:t xml:space="preserve">Сертификат за ниво компетенције: виши средњи = </w:t>
            </w:r>
            <w:r>
              <w:rPr>
                <w:bCs/>
                <w:sz w:val="22"/>
                <w:szCs w:val="22"/>
                <w:lang w:val="sr-CS"/>
              </w:rPr>
              <w:t>Б2</w:t>
            </w:r>
            <w:r>
              <w:rPr>
                <w:bCs/>
                <w:sz w:val="22"/>
                <w:szCs w:val="22"/>
                <w:lang w:val="en-US"/>
              </w:rPr>
              <w:t xml:space="preserve"> </w:t>
            </w:r>
            <w:r>
              <w:rPr>
                <w:bCs/>
                <w:sz w:val="22"/>
                <w:szCs w:val="22"/>
                <w:lang w:val="sr-CS"/>
              </w:rPr>
              <w:t>по</w:t>
            </w:r>
            <w:r>
              <w:rPr>
                <w:bCs/>
                <w:sz w:val="22"/>
                <w:szCs w:val="22"/>
                <w:lang w:val="en-US"/>
              </w:rPr>
              <w:t xml:space="preserve"> </w:t>
            </w:r>
            <w:hyperlink r:id="rId2">
              <w:r>
                <w:rPr>
                  <w:sz w:val="22"/>
                  <w:szCs w:val="22"/>
                  <w:lang w:val="sr-CS"/>
                </w:rPr>
                <w:t>Заједничком европском референтном оквиру за језике (ЗЕРОЈ)</w:t>
              </w:r>
            </w:hyperlink>
            <w:r>
              <w:rPr>
                <w:bCs/>
                <w:sz w:val="22"/>
                <w:szCs w:val="22"/>
                <w:lang w:val="sr-CS"/>
              </w:rPr>
              <w:t>. – преписано из конкурса</w:t>
            </w:r>
          </w:p>
          <w:p>
            <w:pPr>
              <w:pStyle w:val="Normal"/>
              <w:widowControl w:val="false"/>
              <w:shd w:val="clear" w:color="auto" w:fill="FFFFFF"/>
              <w:spacing w:lineRule="exact" w:line="269" w:before="10" w:after="0"/>
              <w:jc w:val="both"/>
              <w:rPr>
                <w:sz w:val="22"/>
                <w:szCs w:val="22"/>
              </w:rPr>
            </w:pPr>
            <w:r>
              <w:rPr>
                <w:bCs/>
                <w:sz w:val="22"/>
                <w:szCs w:val="22"/>
              </w:rPr>
              <w:t xml:space="preserve">За Енглески: </w:t>
            </w:r>
            <w:hyperlink r:id="rId3">
              <w:r>
                <w:rPr>
                  <w:sz w:val="22"/>
                  <w:szCs w:val="22"/>
                </w:rPr>
                <w:t>Cambridge Advanced Certificate in English</w:t>
              </w:r>
            </w:hyperlink>
            <w:r>
              <w:rPr>
                <w:bCs/>
                <w:sz w:val="22"/>
                <w:szCs w:val="22"/>
              </w:rPr>
              <w:t> (CAE)/ IELTS (International English Language Testing System / завршено средњошколско образовање на том језику.</w:t>
            </w:r>
          </w:p>
        </w:tc>
      </w:tr>
    </w:tbl>
    <w:p>
      <w:pPr>
        <w:pStyle w:val="Normal"/>
        <w:rPr>
          <w:sz w:val="22"/>
          <w:szCs w:val="22"/>
          <w:lang w:val="sr-CS"/>
        </w:rPr>
      </w:pPr>
      <w:r>
        <w:rPr>
          <w:sz w:val="22"/>
          <w:szCs w:val="22"/>
          <w:lang w:val="sr-CS"/>
        </w:rPr>
      </w:r>
    </w:p>
    <w:p>
      <w:pPr>
        <w:pStyle w:val="Normal"/>
        <w:jc w:val="center"/>
        <w:rPr>
          <w:sz w:val="22"/>
          <w:szCs w:val="22"/>
          <w:lang w:val="sr-CS" w:eastAsia="en-US"/>
        </w:rPr>
      </w:pPr>
      <w:hyperlink w:anchor="Садржај">
        <w:r>
          <w:rPr>
            <w:rStyle w:val="InternetLink"/>
            <w:sz w:val="22"/>
            <w:szCs w:val="22"/>
            <w:lang w:val="sr-CS" w:eastAsia="en-US"/>
          </w:rPr>
          <w:t>Стандарди</w:t>
        </w:r>
      </w:hyperlink>
    </w:p>
    <w:p>
      <w:pPr>
        <w:pStyle w:val="Normal"/>
        <w:rPr>
          <w:sz w:val="22"/>
          <w:szCs w:val="22"/>
          <w:lang w:val="sr-CS"/>
        </w:rPr>
      </w:pPr>
      <w:r>
        <w:rPr>
          <w:sz w:val="22"/>
          <w:szCs w:val="22"/>
          <w:lang w:val="sr-CS"/>
        </w:rPr>
      </w:r>
    </w:p>
    <w:tbl>
      <w:tblPr>
        <w:tblW w:w="9242" w:type="dxa"/>
        <w:jc w:val="left"/>
        <w:tblInd w:w="0" w:type="dxa"/>
        <w:tblLayout w:type="fixed"/>
        <w:tblCellMar>
          <w:top w:w="0" w:type="dxa"/>
          <w:left w:w="108" w:type="dxa"/>
          <w:bottom w:w="0" w:type="dxa"/>
          <w:right w:w="108" w:type="dxa"/>
        </w:tblCellMar>
        <w:tblLook w:val="01e0"/>
      </w:tblPr>
      <w:tblGrid>
        <w:gridCol w:w="9242"/>
      </w:tblGrid>
      <w:tr>
        <w:trPr/>
        <w:tc>
          <w:tcPr>
            <w:tcW w:w="9242" w:type="dxa"/>
            <w:tcBorders>
              <w:top w:val="single" w:sz="12" w:space="0" w:color="000000"/>
              <w:left w:val="single" w:sz="12" w:space="0" w:color="000000"/>
              <w:bottom w:val="single" w:sz="12" w:space="0" w:color="000000"/>
              <w:right w:val="single" w:sz="12" w:space="0" w:color="000000"/>
            </w:tcBorders>
            <w:shd w:color="auto" w:fill="F2F2F2" w:val="clear"/>
          </w:tcPr>
          <w:p>
            <w:pPr>
              <w:pStyle w:val="Normal"/>
              <w:widowControl w:val="false"/>
              <w:rPr>
                <w:b/>
                <w:b/>
                <w:bCs/>
                <w:sz w:val="22"/>
                <w:szCs w:val="22"/>
              </w:rPr>
            </w:pPr>
            <w:bookmarkStart w:id="0" w:name="Стандард13"/>
            <w:bookmarkEnd w:id="0"/>
            <w:r>
              <w:rPr>
                <w:b/>
                <w:bCs/>
                <w:sz w:val="22"/>
                <w:szCs w:val="22"/>
              </w:rPr>
              <w:t>Стандард 13. Заједнички студијски програм</w:t>
            </w:r>
          </w:p>
          <w:p>
            <w:pPr>
              <w:pStyle w:val="Normal"/>
              <w:widowControl w:val="false"/>
              <w:jc w:val="left"/>
              <w:rPr>
                <w:sz w:val="22"/>
                <w:szCs w:val="22"/>
              </w:rPr>
            </w:pPr>
            <w:r>
              <w:rPr>
                <w:bCs/>
                <w:sz w:val="22"/>
                <w:szCs w:val="22"/>
              </w:rPr>
              <w:t>Под заједничким студијским програмом (ЗС-програм) подразумева се студијски програм за стицање свих облика заједничких диплома који организују и изводе више високошколских установа са статусом правног лица. Заједнички студијски програми воде стицању заједничке дипломе, двоструке (две) дипломе, или једне дипломе коју издаје установа одређена међусобним споразумом установа учесница.</w:t>
            </w:r>
          </w:p>
        </w:tc>
      </w:tr>
      <w:tr>
        <w:trPr/>
        <w:tc>
          <w:tcPr>
            <w:tcW w:w="9242" w:type="dxa"/>
            <w:tcBorders>
              <w:top w:val="single" w:sz="12" w:space="0" w:color="000000"/>
              <w:left w:val="single" w:sz="12" w:space="0" w:color="000000"/>
              <w:bottom w:val="single" w:sz="12" w:space="0" w:color="000000"/>
              <w:right w:val="single" w:sz="12" w:space="0" w:color="000000"/>
            </w:tcBorders>
          </w:tcPr>
          <w:p>
            <w:pPr>
              <w:pStyle w:val="Normal"/>
              <w:widowControl w:val="false"/>
              <w:shd w:val="clear" w:color="auto" w:fill="FFFFFF"/>
              <w:spacing w:lineRule="exact" w:line="269" w:before="10" w:after="0"/>
              <w:rPr>
                <w:sz w:val="22"/>
                <w:szCs w:val="22"/>
                <w:lang w:val="sr-CS"/>
              </w:rPr>
            </w:pPr>
            <w:r>
              <w:rPr>
                <w:b/>
                <w:sz w:val="22"/>
                <w:szCs w:val="22"/>
                <w:lang w:val="sr-CS"/>
              </w:rPr>
              <w:t>Опис</w:t>
            </w:r>
            <w:r>
              <w:rPr>
                <w:sz w:val="22"/>
                <w:szCs w:val="22"/>
                <w:lang w:val="sr-CS"/>
              </w:rPr>
              <w:t xml:space="preserve"> (највише 300 речи):</w:t>
            </w:r>
          </w:p>
          <w:p>
            <w:pPr>
              <w:pStyle w:val="Normal"/>
              <w:widowControl w:val="false"/>
              <w:shd w:val="clear" w:color="auto" w:fill="FFFFFF"/>
              <w:spacing w:lineRule="exact" w:line="269" w:before="10" w:after="0"/>
              <w:rPr>
                <w:sz w:val="22"/>
                <w:szCs w:val="22"/>
              </w:rPr>
            </w:pPr>
            <w:r>
              <w:rPr>
                <w:sz w:val="22"/>
                <w:szCs w:val="22"/>
              </w:rPr>
              <w:t xml:space="preserve">Study programme of (Interdisciplinary) Joint Master Programme in Southeast European Studies is a result of the Tempus project "Examples of excellence for joint (degree) programme development in South Eastern Europe“ (144949-TEMPUS-2008-AT-JPCR), with 18 partners coordinated by the University of Graz. Now it is an interdisciplinary joint master programme of two universities creating a consortium (Universities of Graz and Belgrade) and awarding a joint degree. The programme lasts for two years (four semesters) and is carried out in English. Students spend the first two semesters at the chosen home university – Belgrade or Graz. The third semester is a mandatory mobility period at the other university in consortium. The fourth semester is envisaged for thesis writing. The University of Graz is accredited in Austria, whereas the partnership details are regulated by agreement and annexes covering amendments. Students apply for the programme via common platform; evaluation of candidates is done by coordinators from both institutions. Joint diploma is bilingual (Serbian and </w:t>
            </w:r>
            <w:r>
              <w:rPr>
                <w:rFonts w:eastAsia="Times New Roman" w:cs="Times New Roman"/>
                <w:sz w:val="22"/>
                <w:szCs w:val="22"/>
                <w:lang w:eastAsia="sr-Latn-CS"/>
              </w:rPr>
              <w:t>English</w:t>
            </w:r>
            <w:r>
              <w:rPr>
                <w:sz w:val="22"/>
                <w:szCs w:val="22"/>
              </w:rPr>
              <w:t xml:space="preserve">), has logos and data of both institutions and is signed by their authorized representatives. Diploma supplement is also bilingual and contains all necessary data.  </w:t>
            </w:r>
          </w:p>
          <w:p>
            <w:pPr>
              <w:pStyle w:val="Normal"/>
              <w:widowControl w:val="false"/>
              <w:shd w:val="clear" w:color="auto" w:fill="FFFFFF"/>
              <w:spacing w:lineRule="exact" w:line="269" w:before="10" w:after="0"/>
              <w:rPr>
                <w:sz w:val="22"/>
                <w:szCs w:val="22"/>
                <w:lang w:val="sr-CS"/>
              </w:rPr>
            </w:pPr>
            <w:r>
              <w:rPr>
                <w:sz w:val="22"/>
                <w:szCs w:val="22"/>
                <w:lang w:val="sr-CS"/>
              </w:rPr>
            </w:r>
          </w:p>
          <w:p>
            <w:pPr>
              <w:pStyle w:val="Normal"/>
              <w:widowControl w:val="false"/>
              <w:spacing w:lineRule="auto" w:line="216"/>
              <w:jc w:val="both"/>
              <w:rPr>
                <w:sz w:val="22"/>
                <w:szCs w:val="22"/>
                <w:lang w:val="sr-CS" w:eastAsia="en-US"/>
              </w:rPr>
            </w:pPr>
            <w:r>
              <w:rPr>
                <w:sz w:val="22"/>
                <w:szCs w:val="22"/>
                <w:lang w:val="sr-CS" w:eastAsia="en-US"/>
              </w:rPr>
              <w:t>.</w:t>
            </w:r>
          </w:p>
        </w:tc>
      </w:tr>
      <w:tr>
        <w:trPr/>
        <w:tc>
          <w:tcPr>
            <w:tcW w:w="9242" w:type="dxa"/>
            <w:tcBorders>
              <w:top w:val="single" w:sz="12" w:space="0" w:color="000000"/>
              <w:left w:val="single" w:sz="12" w:space="0" w:color="000000"/>
              <w:bottom w:val="single" w:sz="12" w:space="0" w:color="000000"/>
              <w:right w:val="single" w:sz="12" w:space="0" w:color="000000"/>
            </w:tcBorders>
            <w:shd w:color="auto" w:fill="F2F2F2" w:val="clear"/>
          </w:tcPr>
          <w:p>
            <w:pPr>
              <w:pStyle w:val="Normal"/>
              <w:widowControl w:val="false"/>
              <w:pBdr>
                <w:bottom w:val="single" w:sz="6" w:space="1" w:color="000000"/>
              </w:pBdr>
              <w:spacing w:lineRule="auto" w:line="235"/>
              <w:jc w:val="both"/>
              <w:rPr>
                <w:b/>
                <w:b/>
                <w:sz w:val="22"/>
                <w:szCs w:val="22"/>
                <w:lang w:eastAsia="en-US"/>
              </w:rPr>
            </w:pPr>
            <w:r>
              <w:rPr>
                <w:b/>
                <w:sz w:val="22"/>
                <w:szCs w:val="22"/>
                <w:lang w:eastAsia="en-US"/>
              </w:rPr>
              <w:t xml:space="preserve">Показатељи и прилози за стандард 13: </w:t>
            </w:r>
          </w:p>
          <w:p>
            <w:pPr>
              <w:pStyle w:val="Normal"/>
              <w:widowControl w:val="false"/>
              <w:spacing w:lineRule="auto" w:line="235"/>
              <w:jc w:val="both"/>
              <w:rPr>
                <w:sz w:val="22"/>
                <w:szCs w:val="22"/>
                <w:lang w:eastAsia="en-US"/>
              </w:rPr>
            </w:pPr>
            <w:r>
              <w:rPr>
                <w:b/>
                <w:sz w:val="22"/>
                <w:szCs w:val="22"/>
                <w:lang w:eastAsia="en-US"/>
              </w:rPr>
              <w:t>Прилог 13.1</w:t>
            </w:r>
            <w:r>
              <w:rPr>
                <w:sz w:val="22"/>
                <w:szCs w:val="22"/>
                <w:lang w:eastAsia="en-US"/>
              </w:rPr>
              <w:t xml:space="preserve">. Доказ о акредитацији високошколских установа које реализују ЗС. </w:t>
            </w:r>
          </w:p>
          <w:p>
            <w:pPr>
              <w:pStyle w:val="Normal"/>
              <w:widowControl w:val="false"/>
              <w:spacing w:lineRule="auto" w:line="235"/>
              <w:jc w:val="both"/>
              <w:rPr>
                <w:sz w:val="22"/>
                <w:szCs w:val="22"/>
                <w:lang w:eastAsia="en-US"/>
              </w:rPr>
            </w:pPr>
            <w:r>
              <w:rPr>
                <w:b/>
                <w:sz w:val="22"/>
                <w:szCs w:val="22"/>
                <w:lang w:eastAsia="en-US"/>
              </w:rPr>
              <w:t>Прилог 13.2.</w:t>
            </w:r>
            <w:r>
              <w:rPr>
                <w:sz w:val="22"/>
                <w:szCs w:val="22"/>
                <w:lang w:eastAsia="en-US"/>
              </w:rPr>
              <w:t xml:space="preserve"> Уговор између високошколских установа са статусом правног лица о реализацији ЗС програма. </w:t>
            </w:r>
          </w:p>
          <w:p>
            <w:pPr>
              <w:pStyle w:val="Normal"/>
              <w:widowControl w:val="false"/>
              <w:spacing w:lineRule="auto" w:line="235"/>
              <w:jc w:val="both"/>
              <w:rPr>
                <w:sz w:val="22"/>
                <w:szCs w:val="22"/>
                <w:lang w:eastAsia="en-US"/>
              </w:rPr>
            </w:pPr>
            <w:r>
              <w:rPr>
                <w:b/>
                <w:sz w:val="22"/>
                <w:szCs w:val="22"/>
                <w:lang w:eastAsia="en-US"/>
              </w:rPr>
              <w:t>Прилог 13.3.</w:t>
            </w:r>
            <w:r>
              <w:rPr>
                <w:sz w:val="22"/>
                <w:szCs w:val="22"/>
                <w:lang w:eastAsia="en-US"/>
              </w:rPr>
              <w:t xml:space="preserve"> Конкурс за упис студената.</w:t>
            </w:r>
          </w:p>
          <w:p>
            <w:pPr>
              <w:pStyle w:val="Normal"/>
              <w:widowControl w:val="false"/>
              <w:spacing w:lineRule="auto" w:line="235"/>
              <w:jc w:val="both"/>
              <w:rPr>
                <w:sz w:val="22"/>
                <w:szCs w:val="22"/>
                <w:lang w:val="sr-CS"/>
              </w:rPr>
            </w:pPr>
            <w:r>
              <w:rPr>
                <w:b/>
                <w:sz w:val="22"/>
                <w:szCs w:val="22"/>
                <w:lang w:eastAsia="en-US"/>
              </w:rPr>
              <w:t>Прилог 13.4.</w:t>
            </w:r>
            <w:r>
              <w:rPr>
                <w:sz w:val="22"/>
                <w:szCs w:val="22"/>
                <w:lang w:eastAsia="en-US"/>
              </w:rPr>
              <w:t xml:space="preserve"> Додатак дипломи.</w:t>
            </w:r>
          </w:p>
        </w:tc>
      </w:tr>
    </w:tbl>
    <w:p>
      <w:pPr>
        <w:pStyle w:val="Normal"/>
        <w:rPr>
          <w:sz w:val="22"/>
          <w:szCs w:val="22"/>
          <w:lang w:val="sr-CS"/>
        </w:rPr>
      </w:pPr>
      <w:r>
        <w:rPr>
          <w:sz w:val="22"/>
          <w:szCs w:val="22"/>
          <w:lang w:val="sr-CS"/>
        </w:rPr>
      </w:r>
    </w:p>
    <w:p>
      <w:pPr>
        <w:pStyle w:val="Normal"/>
        <w:jc w:val="center"/>
        <w:rPr>
          <w:sz w:val="22"/>
          <w:szCs w:val="22"/>
          <w:lang w:val="sr-CS" w:eastAsia="en-US"/>
        </w:rPr>
      </w:pPr>
      <w:hyperlink w:anchor="Садржај">
        <w:r>
          <w:rPr>
            <w:rStyle w:val="InternetLink"/>
            <w:sz w:val="22"/>
            <w:szCs w:val="22"/>
            <w:lang w:val="sr-CS" w:eastAsia="en-US"/>
          </w:rPr>
          <w:t>Стандарди</w:t>
        </w:r>
      </w:hyperlink>
    </w:p>
    <w:p>
      <w:pPr>
        <w:pStyle w:val="Normal"/>
        <w:rPr>
          <w:sz w:val="22"/>
          <w:szCs w:val="22"/>
          <w:lang w:val="sr-CS"/>
        </w:rPr>
      </w:pPr>
      <w:r>
        <w:rPr>
          <w:sz w:val="22"/>
          <w:szCs w:val="22"/>
          <w:lang w:val="sr-CS"/>
        </w:rPr>
      </w:r>
    </w:p>
    <w:tbl>
      <w:tblPr>
        <w:tblW w:w="9242" w:type="dxa"/>
        <w:jc w:val="left"/>
        <w:tblInd w:w="0" w:type="dxa"/>
        <w:tblLayout w:type="fixed"/>
        <w:tblCellMar>
          <w:top w:w="0" w:type="dxa"/>
          <w:left w:w="108" w:type="dxa"/>
          <w:bottom w:w="0" w:type="dxa"/>
          <w:right w:w="108" w:type="dxa"/>
        </w:tblCellMar>
        <w:tblLook w:val="01e0"/>
      </w:tblPr>
      <w:tblGrid>
        <w:gridCol w:w="9242"/>
      </w:tblGrid>
      <w:tr>
        <w:trPr/>
        <w:tc>
          <w:tcPr>
            <w:tcW w:w="9242" w:type="dxa"/>
            <w:tcBorders>
              <w:top w:val="single" w:sz="12" w:space="0" w:color="000000"/>
              <w:left w:val="single" w:sz="12" w:space="0" w:color="000000"/>
              <w:bottom w:val="single" w:sz="12" w:space="0" w:color="000000"/>
              <w:right w:val="single" w:sz="12" w:space="0" w:color="000000"/>
            </w:tcBorders>
            <w:shd w:color="auto" w:fill="F2F2F2" w:val="clear"/>
          </w:tcPr>
          <w:p>
            <w:pPr>
              <w:pStyle w:val="Normal"/>
              <w:widowControl w:val="false"/>
              <w:rPr>
                <w:b/>
                <w:b/>
                <w:bCs/>
                <w:sz w:val="22"/>
                <w:szCs w:val="22"/>
              </w:rPr>
            </w:pPr>
            <w:bookmarkStart w:id="1" w:name="Стандард14"/>
            <w:bookmarkEnd w:id="1"/>
            <w:r>
              <w:rPr>
                <w:b/>
                <w:bCs/>
                <w:sz w:val="22"/>
                <w:szCs w:val="22"/>
              </w:rPr>
              <w:t xml:space="preserve">Стандард 14. </w:t>
            </w:r>
            <w:r>
              <w:rPr>
                <w:b/>
                <w:bCs/>
                <w:sz w:val="22"/>
                <w:szCs w:val="22"/>
                <w:lang w:val="sr-CS"/>
              </w:rPr>
              <w:t>ИМТ (</w:t>
            </w:r>
            <w:r>
              <w:rPr>
                <w:b/>
                <w:bCs/>
                <w:sz w:val="22"/>
                <w:szCs w:val="22"/>
              </w:rPr>
              <w:t>интердисциплинарни, мултидисциплинарни и трансдисциплинарни)</w:t>
            </w:r>
            <w:r>
              <w:rPr>
                <w:b/>
                <w:bCs/>
                <w:sz w:val="22"/>
                <w:szCs w:val="22"/>
                <w:lang w:val="sr-CS"/>
              </w:rPr>
              <w:t xml:space="preserve"> студијски програм</w:t>
            </w:r>
          </w:p>
          <w:p>
            <w:pPr>
              <w:pStyle w:val="Normal"/>
              <w:widowControl w:val="false"/>
              <w:spacing w:lineRule="auto" w:line="235"/>
              <w:rPr>
                <w:sz w:val="22"/>
                <w:szCs w:val="22"/>
                <w:lang w:eastAsia="en-US"/>
              </w:rPr>
            </w:pPr>
            <w:r>
              <w:rPr>
                <w:sz w:val="22"/>
                <w:szCs w:val="22"/>
                <w:lang w:eastAsia="en-US"/>
              </w:rPr>
              <w:t>Под ИМТ студијским програмима подразумевају се интердисциплинарни, мултидисциплинарни и трансдисциплинарни студијски програми који обухватају материју из две или више области из истог или различитих поља.</w:t>
            </w:r>
          </w:p>
          <w:p>
            <w:pPr>
              <w:pStyle w:val="Normal"/>
              <w:widowControl w:val="false"/>
              <w:spacing w:lineRule="auto" w:line="235"/>
              <w:rPr>
                <w:sz w:val="22"/>
                <w:szCs w:val="22"/>
                <w:lang w:eastAsia="en-US"/>
              </w:rPr>
            </w:pPr>
            <w:r>
              <w:rPr>
                <w:sz w:val="22"/>
                <w:szCs w:val="22"/>
                <w:lang w:eastAsia="en-US"/>
              </w:rPr>
              <w:t>ИМТ студијски програми се могу организовати у оквиру студија сва три нивоа и обе врсте високог образовања.</w:t>
            </w:r>
          </w:p>
        </w:tc>
      </w:tr>
      <w:tr>
        <w:trPr/>
        <w:tc>
          <w:tcPr>
            <w:tcW w:w="9242" w:type="dxa"/>
            <w:tcBorders>
              <w:top w:val="single" w:sz="12" w:space="0" w:color="000000"/>
              <w:left w:val="single" w:sz="12" w:space="0" w:color="000000"/>
              <w:bottom w:val="single" w:sz="12" w:space="0" w:color="000000"/>
              <w:right w:val="single" w:sz="12" w:space="0" w:color="000000"/>
            </w:tcBorders>
          </w:tcPr>
          <w:p>
            <w:pPr>
              <w:pStyle w:val="Normal"/>
              <w:widowControl w:val="false"/>
              <w:rPr>
                <w:sz w:val="24"/>
                <w:szCs w:val="24"/>
                <w:lang w:val="en-US"/>
              </w:rPr>
            </w:pPr>
            <w:r>
              <w:rPr>
                <w:sz w:val="24"/>
                <w:szCs w:val="24"/>
                <w:lang w:val="en-US"/>
              </w:rPr>
              <w:t xml:space="preserve">The request for accreditation of international academic master programme was filed by the Faculty of Political Science, which is an accredited institution. The University of Graz is accredited in its country of origin – Austria. The Faculty of Political Science provides at least 50% of full-time teachers for students enrolled in Belgrade, whereas the rest is covered by visiting professors from partner higher educational institutions. Details on standards met by engaged teachers are enclosed herewith. </w:t>
            </w:r>
          </w:p>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spacing w:lineRule="auto" w:line="235"/>
              <w:rPr>
                <w:sz w:val="22"/>
                <w:szCs w:val="22"/>
                <w:lang w:val="sr-CS" w:eastAsia="en-US"/>
              </w:rPr>
            </w:pPr>
            <w:r>
              <w:rPr>
                <w:sz w:val="22"/>
                <w:szCs w:val="22"/>
                <w:lang w:val="sr-CS" w:eastAsia="en-US"/>
              </w:rPr>
            </w:r>
          </w:p>
        </w:tc>
      </w:tr>
      <w:tr>
        <w:trPr/>
        <w:tc>
          <w:tcPr>
            <w:tcW w:w="9242" w:type="dxa"/>
            <w:tcBorders>
              <w:top w:val="single" w:sz="12" w:space="0" w:color="000000"/>
              <w:left w:val="single" w:sz="12" w:space="0" w:color="000000"/>
              <w:bottom w:val="single" w:sz="12" w:space="0" w:color="000000"/>
              <w:right w:val="single" w:sz="12" w:space="0" w:color="000000"/>
            </w:tcBorders>
            <w:shd w:color="auto" w:fill="F2F2F2" w:val="clear"/>
          </w:tcPr>
          <w:p>
            <w:pPr>
              <w:pStyle w:val="Normal"/>
              <w:widowControl w:val="false"/>
              <w:pBdr>
                <w:bottom w:val="single" w:sz="6" w:space="1" w:color="000000"/>
              </w:pBdr>
              <w:rPr>
                <w:rStyle w:val="InternetLink"/>
                <w:b/>
                <w:b/>
                <w:sz w:val="22"/>
                <w:szCs w:val="22"/>
              </w:rPr>
            </w:pPr>
            <w:r>
              <w:rPr>
                <w:rStyle w:val="InternetLink"/>
                <w:b/>
                <w:sz w:val="22"/>
                <w:szCs w:val="22"/>
              </w:rPr>
              <w:t>Табеле и Прилози за стандард 14:</w:t>
            </w:r>
          </w:p>
          <w:p>
            <w:pPr>
              <w:pStyle w:val="Normal"/>
              <w:widowControl w:val="false"/>
              <w:rPr>
                <w:sz w:val="22"/>
                <w:szCs w:val="22"/>
                <w:lang w:val="sr-CS"/>
              </w:rPr>
            </w:pPr>
            <w:hyperlink r:id="rId4">
              <w:r>
                <w:rPr>
                  <w:rStyle w:val="InternetLink"/>
                  <w:b/>
                  <w:sz w:val="22"/>
                  <w:szCs w:val="22"/>
                  <w:lang w:val="sr-CS"/>
                </w:rPr>
                <w:t>Табела 14.1.</w:t>
              </w:r>
            </w:hyperlink>
            <w:r>
              <w:rPr>
                <w:sz w:val="22"/>
                <w:szCs w:val="22"/>
                <w:lang w:val="sr-CS"/>
              </w:rPr>
              <w:t xml:space="preserve"> Списак предмета из прве главне области.</w:t>
            </w:r>
          </w:p>
          <w:p>
            <w:pPr>
              <w:pStyle w:val="Normal"/>
              <w:widowControl w:val="false"/>
              <w:pBdr>
                <w:bottom w:val="single" w:sz="6" w:space="1" w:color="000000"/>
              </w:pBdr>
              <w:rPr>
                <w:sz w:val="22"/>
                <w:szCs w:val="22"/>
                <w:lang w:val="sr-CS"/>
              </w:rPr>
            </w:pPr>
            <w:hyperlink r:id="rId5">
              <w:r>
                <w:rPr>
                  <w:rStyle w:val="InternetLink"/>
                  <w:b/>
                  <w:sz w:val="22"/>
                  <w:szCs w:val="22"/>
                  <w:lang w:val="sr-CS"/>
                </w:rPr>
                <w:t>Табела 14.2.</w:t>
              </w:r>
            </w:hyperlink>
            <w:r>
              <w:rPr>
                <w:b/>
                <w:sz w:val="22"/>
                <w:szCs w:val="22"/>
                <w:lang w:val="sr-CS"/>
              </w:rPr>
              <w:t xml:space="preserve"> </w:t>
            </w:r>
            <w:r>
              <w:rPr>
                <w:sz w:val="22"/>
                <w:szCs w:val="22"/>
                <w:lang w:val="sr-CS"/>
              </w:rPr>
              <w:t>Списак предмета из друге главне области.</w:t>
            </w:r>
          </w:p>
          <w:p>
            <w:pPr>
              <w:pStyle w:val="Normal"/>
              <w:widowControl w:val="false"/>
              <w:rPr>
                <w:rStyle w:val="InternetLink"/>
                <w:sz w:val="22"/>
                <w:szCs w:val="22"/>
              </w:rPr>
            </w:pPr>
            <w:r>
              <w:rPr>
                <w:rStyle w:val="InternetLink"/>
                <w:b/>
                <w:sz w:val="22"/>
                <w:szCs w:val="22"/>
              </w:rPr>
              <w:t xml:space="preserve">Прилог </w:t>
            </w:r>
            <w:r>
              <w:rPr>
                <w:rStyle w:val="InternetLink"/>
                <w:b/>
                <w:sz w:val="22"/>
                <w:szCs w:val="22"/>
                <w:lang w:val="sr-CS"/>
              </w:rPr>
              <w:t>14.</w:t>
            </w:r>
            <w:r>
              <w:rPr>
                <w:rStyle w:val="InternetLink"/>
                <w:b/>
                <w:sz w:val="22"/>
                <w:szCs w:val="22"/>
              </w:rPr>
              <w:t>1.</w:t>
            </w:r>
            <w:r>
              <w:rPr>
                <w:rStyle w:val="InternetLink"/>
                <w:sz w:val="22"/>
                <w:szCs w:val="22"/>
              </w:rPr>
              <w:t xml:space="preserve"> Статут Универзитета у коме је дефинисана реализација ИМТ СП у оквиру ВЈ. </w:t>
            </w:r>
          </w:p>
          <w:p>
            <w:pPr>
              <w:pStyle w:val="Normal"/>
              <w:widowControl w:val="false"/>
              <w:rPr>
                <w:rStyle w:val="InternetLink"/>
                <w:sz w:val="22"/>
                <w:szCs w:val="22"/>
                <w:lang w:val="sr-CS"/>
              </w:rPr>
            </w:pPr>
            <w:r>
              <w:rPr>
                <w:rStyle w:val="InternetLink"/>
                <w:b/>
                <w:sz w:val="22"/>
                <w:szCs w:val="22"/>
              </w:rPr>
              <w:t>Прилог</w:t>
            </w:r>
            <w:r>
              <w:rPr>
                <w:rStyle w:val="InternetLink"/>
                <w:b/>
                <w:sz w:val="22"/>
                <w:szCs w:val="22"/>
                <w:lang w:val="sr-CS"/>
              </w:rPr>
              <w:t>14.</w:t>
            </w:r>
            <w:r>
              <w:rPr>
                <w:rStyle w:val="InternetLink"/>
                <w:b/>
                <w:sz w:val="22"/>
                <w:szCs w:val="22"/>
              </w:rPr>
              <w:t xml:space="preserve"> 2.</w:t>
            </w:r>
            <w:r>
              <w:rPr>
                <w:rStyle w:val="InternetLink"/>
                <w:sz w:val="22"/>
                <w:szCs w:val="22"/>
              </w:rPr>
              <w:t xml:space="preserve"> Споразум са високошколским институцијама у оквиру универзитета чији се ресурси користе за реализацију студијског програма, у коме су дефинисана међусобна права и обавезе ВЈ и ових институција.</w:t>
            </w:r>
          </w:p>
          <w:p>
            <w:pPr>
              <w:pStyle w:val="Normal"/>
              <w:widowControl w:val="false"/>
              <w:rPr>
                <w:rStyle w:val="InternetLink"/>
                <w:sz w:val="22"/>
                <w:szCs w:val="22"/>
              </w:rPr>
            </w:pPr>
            <w:r>
              <w:rPr>
                <w:rStyle w:val="InternetLink"/>
                <w:b/>
                <w:sz w:val="22"/>
                <w:szCs w:val="22"/>
              </w:rPr>
              <w:t xml:space="preserve">Прилог </w:t>
            </w:r>
            <w:r>
              <w:rPr>
                <w:rStyle w:val="InternetLink"/>
                <w:b/>
                <w:sz w:val="22"/>
                <w:szCs w:val="22"/>
                <w:lang w:val="sr-CS"/>
              </w:rPr>
              <w:t>14.</w:t>
            </w:r>
            <w:r>
              <w:rPr>
                <w:rStyle w:val="InternetLink"/>
                <w:b/>
                <w:sz w:val="22"/>
                <w:szCs w:val="22"/>
              </w:rPr>
              <w:t>3..</w:t>
            </w:r>
            <w:r>
              <w:rPr>
                <w:rStyle w:val="InternetLink"/>
                <w:sz w:val="22"/>
                <w:szCs w:val="22"/>
              </w:rPr>
              <w:t xml:space="preserve"> Конкурс за упис студената.</w:t>
            </w:r>
          </w:p>
          <w:p>
            <w:pPr>
              <w:pStyle w:val="Normal"/>
              <w:widowControl w:val="false"/>
              <w:rPr>
                <w:sz w:val="22"/>
                <w:szCs w:val="22"/>
                <w:lang w:val="sr-CS"/>
              </w:rPr>
            </w:pPr>
            <w:r>
              <w:rPr>
                <w:rStyle w:val="InternetLink"/>
                <w:b/>
                <w:sz w:val="22"/>
                <w:szCs w:val="22"/>
              </w:rPr>
              <w:t xml:space="preserve">Прилог </w:t>
            </w:r>
            <w:r>
              <w:rPr>
                <w:rStyle w:val="InternetLink"/>
                <w:b/>
                <w:sz w:val="22"/>
                <w:szCs w:val="22"/>
                <w:lang w:val="sr-CS"/>
              </w:rPr>
              <w:t>14.</w:t>
            </w:r>
            <w:r>
              <w:rPr>
                <w:rStyle w:val="InternetLink"/>
                <w:b/>
                <w:sz w:val="22"/>
                <w:szCs w:val="22"/>
              </w:rPr>
              <w:t>4.</w:t>
            </w:r>
            <w:r>
              <w:rPr>
                <w:rStyle w:val="InternetLink"/>
                <w:sz w:val="22"/>
                <w:szCs w:val="22"/>
              </w:rPr>
              <w:t xml:space="preserve"> Додатак дипломи.</w:t>
            </w:r>
          </w:p>
        </w:tc>
      </w:tr>
    </w:tbl>
    <w:p>
      <w:pPr>
        <w:pStyle w:val="Normal"/>
        <w:rPr/>
      </w:pPr>
      <w:r>
        <w:rPr/>
      </w:r>
    </w:p>
    <w:sectPr>
      <w:type w:val="nextPage"/>
      <w:pgSz w:w="11906" w:h="16838"/>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Tahoma">
    <w:charset w:val="01"/>
    <w:family w:val="roman"/>
    <w:pitch w:val="variable"/>
  </w:font>
  <w:font w:name="Liberation Sans">
    <w:altName w:val="Arial"/>
    <w:charset w:val="01"/>
    <w:family w:val="swiss"/>
    <w:pitch w:val="variable"/>
  </w:font>
  <w:font w:name="OpenSymbol">
    <w:altName w:val="Arial Unicode MS"/>
    <w:charset w:val="01"/>
    <w:family w:val="auto"/>
    <w:pitch w:val="default"/>
  </w:font>
  <w:font w:name="Courier New">
    <w:charset w:val="01"/>
    <w:family w:val="auto"/>
    <w:pitch w:val="variable"/>
  </w:font>
  <w:font w:name="Wingdings">
    <w:charset w:val="02"/>
    <w:family w:val="auto"/>
    <w:pitch w:val="variable"/>
  </w:font>
  <w:font w:name="Symbol">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90"/>
  <w:defaultTabStop w:val="720"/>
  <w:autoHyphenation w:val="true"/>
  <w:compat>
    <w:compatSetting w:name="compatibilityMode" w:uri="http://schemas.microsoft.com/office/word" w:val="12"/>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GB"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c7541e"/>
    <w:pPr>
      <w:widowControl w:val="false"/>
      <w:bidi w:val="0"/>
      <w:spacing w:lineRule="auto" w:line="240" w:before="0" w:after="0"/>
      <w:jc w:val="left"/>
    </w:pPr>
    <w:rPr>
      <w:rFonts w:ascii="Times New Roman" w:hAnsi="Times New Roman" w:eastAsia="Times New Roman" w:cs="Times New Roman"/>
      <w:color w:val="auto"/>
      <w:kern w:val="0"/>
      <w:sz w:val="20"/>
      <w:szCs w:val="20"/>
      <w:lang w:eastAsia="sr-Latn-CS" w:val="en-GB" w:bidi="ar-SA"/>
    </w:rPr>
  </w:style>
  <w:style w:type="character" w:styleId="DefaultParagraphFont" w:default="1">
    <w:name w:val="Default Paragraph Font"/>
    <w:uiPriority w:val="1"/>
    <w:semiHidden/>
    <w:unhideWhenUsed/>
    <w:qFormat/>
    <w:rPr/>
  </w:style>
  <w:style w:type="character" w:styleId="InternetLink">
    <w:name w:val="Hyperlink"/>
    <w:rsid w:val="00c7541e"/>
    <w:rPr>
      <w:color w:val="0000FF"/>
      <w:u w:val="single"/>
    </w:rPr>
  </w:style>
  <w:style w:type="character" w:styleId="Annotationreference">
    <w:name w:val="annotation reference"/>
    <w:basedOn w:val="DefaultParagraphFont"/>
    <w:uiPriority w:val="99"/>
    <w:semiHidden/>
    <w:unhideWhenUsed/>
    <w:qFormat/>
    <w:rsid w:val="00f12ec3"/>
    <w:rPr>
      <w:sz w:val="16"/>
      <w:szCs w:val="16"/>
    </w:rPr>
  </w:style>
  <w:style w:type="character" w:styleId="CommentTextChar" w:customStyle="1">
    <w:name w:val="Comment Text Char"/>
    <w:basedOn w:val="DefaultParagraphFont"/>
    <w:link w:val="CommentText"/>
    <w:uiPriority w:val="99"/>
    <w:semiHidden/>
    <w:qFormat/>
    <w:rsid w:val="00f12ec3"/>
    <w:rPr>
      <w:rFonts w:ascii="Times New Roman" w:hAnsi="Times New Roman" w:eastAsia="Times New Roman" w:cs="Times New Roman"/>
      <w:sz w:val="20"/>
      <w:szCs w:val="20"/>
      <w:lang w:val="sr-Latn-CS" w:eastAsia="sr-Latn-CS"/>
    </w:rPr>
  </w:style>
  <w:style w:type="character" w:styleId="CommentSubjectChar" w:customStyle="1">
    <w:name w:val="Comment Subject Char"/>
    <w:basedOn w:val="CommentTextChar"/>
    <w:link w:val="CommentSubject"/>
    <w:uiPriority w:val="99"/>
    <w:semiHidden/>
    <w:qFormat/>
    <w:rsid w:val="00f12ec3"/>
    <w:rPr>
      <w:rFonts w:ascii="Times New Roman" w:hAnsi="Times New Roman" w:eastAsia="Times New Roman" w:cs="Times New Roman"/>
      <w:b/>
      <w:bCs/>
      <w:sz w:val="20"/>
      <w:szCs w:val="20"/>
      <w:lang w:val="sr-Latn-CS" w:eastAsia="sr-Latn-CS"/>
    </w:rPr>
  </w:style>
  <w:style w:type="character" w:styleId="BalloonTextChar" w:customStyle="1">
    <w:name w:val="Balloon Text Char"/>
    <w:basedOn w:val="DefaultParagraphFont"/>
    <w:link w:val="BalloonText"/>
    <w:uiPriority w:val="99"/>
    <w:semiHidden/>
    <w:qFormat/>
    <w:rsid w:val="00f12ec3"/>
    <w:rPr>
      <w:rFonts w:ascii="Tahoma" w:hAnsi="Tahoma" w:eastAsia="Times New Roman" w:cs="Tahoma"/>
      <w:sz w:val="16"/>
      <w:szCs w:val="16"/>
      <w:lang w:val="sr-Latn-CS" w:eastAsia="sr-Latn-CS"/>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Annotationtext">
    <w:name w:val="annotation text"/>
    <w:basedOn w:val="Normal"/>
    <w:link w:val="CommentTextChar"/>
    <w:uiPriority w:val="99"/>
    <w:semiHidden/>
    <w:unhideWhenUsed/>
    <w:qFormat/>
    <w:rsid w:val="00f12ec3"/>
    <w:pPr/>
    <w:rPr/>
  </w:style>
  <w:style w:type="paragraph" w:styleId="Annotationsubject">
    <w:name w:val="annotation subject"/>
    <w:basedOn w:val="Annotationtext"/>
    <w:next w:val="Annotationtext"/>
    <w:link w:val="CommentSubjectChar"/>
    <w:uiPriority w:val="99"/>
    <w:semiHidden/>
    <w:unhideWhenUsed/>
    <w:qFormat/>
    <w:rsid w:val="00f12ec3"/>
    <w:pPr/>
    <w:rPr>
      <w:b/>
      <w:bCs/>
    </w:rPr>
  </w:style>
  <w:style w:type="paragraph" w:styleId="BalloonText">
    <w:name w:val="Balloon Text"/>
    <w:basedOn w:val="Normal"/>
    <w:link w:val="BalloonTextChar"/>
    <w:uiPriority w:val="99"/>
    <w:semiHidden/>
    <w:unhideWhenUsed/>
    <w:qFormat/>
    <w:rsid w:val="00f12ec3"/>
    <w:pPr/>
    <w:rPr>
      <w:rFonts w:ascii="Tahoma" w:hAnsi="Tahoma" w:cs="Tahoma"/>
      <w:sz w:val="16"/>
      <w:szCs w:val="16"/>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mbridgeenglish.org/exams/cefr/" TargetMode="External"/><Relationship Id="rId3" Type="http://schemas.openxmlformats.org/officeDocument/2006/relationships/hyperlink" Target="http://www.cambridgeenglish.org/exams/advanced/" TargetMode="External"/><Relationship Id="rId4" Type="http://schemas.openxmlformats.org/officeDocument/2006/relationships/hyperlink" Target="../../../../../H:/1.1.1.1.%20Uputstva%20KAPK/KAPK%20Sva%20Uputstva%20i%20ostalo/Uputstvo%20za%20pripremu%20dokumentacije%20za%20SP%20I%20i%20II/Tabele/Tabele%2014.docx" TargetMode="External"/><Relationship Id="rId5" Type="http://schemas.openxmlformats.org/officeDocument/2006/relationships/hyperlink" Target="../../../../../H:/1.1.1.1.%20Uputstva%20KAPK/KAPK%20Sva%20Uputstva%20i%20ostalo/Uputstvo%20za%20pripremu%20dokumentacije%20za%20SP%20I%20i%20II/Tabele/Tabele%2014.docx" TargetMode="Externa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Application>LibreOffice/7.1.3.2$MacOSX_X86_64 LibreOffice_project/47f78053abe362b9384784d31a6e56f8511eb1c1</Application>
  <AppVersion>15.0000</AppVersion>
  <Pages>3</Pages>
  <Words>1052</Words>
  <Characters>6213</Characters>
  <CharactersWithSpaces>7240</CharactersWithSpaces>
  <Paragraphs>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2021-06-14T13:19:00Z</dcterms:created>
  <dc:creator>Aleksandar Milosevic</dc:creator>
  <dc:description/>
  <dc:language>en-US</dc:language>
  <cp:lastModifiedBy/>
  <cp:lastPrinted>2021-06-10T14:59:00Z</cp:lastPrinted>
  <dcterms:modified xsi:type="dcterms:W3CDTF">2021-06-15T11:54:06Z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